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116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975"/>
        <w:gridCol w:w="8140"/>
      </w:tblGrid>
      <w:tr>
        <w:trPr/>
        <w:tc>
          <w:tcPr>
            <w:tcW w:w="15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rPr>
                <w:b/>
                <w:bCs/>
              </w:rPr>
            </w:pPr>
            <w:r>
              <w:rPr>
                <w:rFonts w:ascii="Tinos" w:hAnsi="Tinos"/>
                <w:b/>
                <w:bCs/>
                <w:sz w:val="22"/>
                <w:szCs w:val="22"/>
              </w:rPr>
              <w:t>Меры социальной поддержки, предусмотренные в Воронежской области многодетным семьям</w:t>
            </w:r>
          </w:p>
        </w:tc>
      </w:tr>
      <w:tr>
        <w:trPr/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ind w:hanging="0" w:left="0" w:right="0"/>
              <w:jc w:val="center"/>
              <w:rPr>
                <w:b/>
                <w:bCs/>
              </w:rPr>
            </w:pPr>
            <w:r>
              <w:rPr>
                <w:rFonts w:ascii="Tinos" w:hAnsi="Tinos"/>
                <w:b/>
                <w:bCs/>
                <w:color w:val="000000"/>
                <w:sz w:val="22"/>
                <w:szCs w:val="22"/>
              </w:rPr>
              <w:t>Наименование меры социальной поддержки (МСП)</w:t>
            </w:r>
          </w:p>
        </w:tc>
        <w:tc>
          <w:tcPr>
            <w:tcW w:w="8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ind w:hanging="0" w:left="0" w:right="0"/>
              <w:jc w:val="center"/>
              <w:rPr>
                <w:b/>
                <w:bCs/>
              </w:rPr>
            </w:pPr>
            <w:r>
              <w:rPr>
                <w:rFonts w:ascii="Tinos" w:hAnsi="Tinos"/>
                <w:b/>
                <w:bCs/>
                <w:color w:val="000000"/>
                <w:sz w:val="22"/>
                <w:szCs w:val="22"/>
              </w:rPr>
              <w:t>Нормативный правовой акт, устанавливающий МСП</w:t>
            </w:r>
          </w:p>
        </w:tc>
      </w:tr>
      <w:tr>
        <w:trPr/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ind w:hanging="0" w:left="0" w:right="0"/>
              <w:jc w:val="left"/>
              <w:rPr>
                <w:sz w:val="21"/>
                <w:szCs w:val="21"/>
              </w:rPr>
            </w:pPr>
            <w:r>
              <w:rPr>
                <w:rFonts w:ascii="Tinos" w:hAnsi="Tinos"/>
                <w:color w:val="000000"/>
                <w:sz w:val="21"/>
                <w:szCs w:val="21"/>
              </w:rPr>
              <w:t>Выдача удостоверения, подтверждающего статус многодетной семьи в Российской Федерации, на территории Воронежской области</w:t>
            </w:r>
          </w:p>
        </w:tc>
        <w:tc>
          <w:tcPr>
            <w:tcW w:w="8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ind w:hanging="0" w:left="0" w:right="0"/>
              <w:jc w:val="left"/>
              <w:rPr>
                <w:sz w:val="21"/>
                <w:szCs w:val="21"/>
              </w:rPr>
            </w:pPr>
            <w:r>
              <w:rPr>
                <w:rFonts w:ascii="Tinos" w:hAnsi="Tinos"/>
                <w:color w:val="000000"/>
                <w:sz w:val="21"/>
                <w:szCs w:val="21"/>
              </w:rPr>
              <w:t>Постановление  Правительства  Воронежской  области от 19 декабря 2024г. № 807</w:t>
            </w:r>
          </w:p>
        </w:tc>
      </w:tr>
      <w:tr>
        <w:trPr/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ind w:hanging="0" w:left="0" w:right="0"/>
              <w:jc w:val="left"/>
              <w:rPr>
                <w:sz w:val="21"/>
                <w:szCs w:val="21"/>
              </w:rPr>
            </w:pPr>
            <w:r>
              <w:rPr>
                <w:rFonts w:ascii="Tinos" w:hAnsi="Tinos"/>
                <w:color w:val="000000"/>
                <w:sz w:val="21"/>
                <w:szCs w:val="21"/>
              </w:rPr>
              <w:t>Денежная выплата на приобретение одежды для обучающихся (школьной формы) и спортивной формы для каждого обучающегося ребенка.</w:t>
            </w:r>
          </w:p>
        </w:tc>
        <w:tc>
          <w:tcPr>
            <w:tcW w:w="8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ind w:hanging="0" w:left="0" w:right="0"/>
              <w:jc w:val="left"/>
              <w:rPr>
                <w:sz w:val="21"/>
                <w:szCs w:val="21"/>
              </w:rPr>
            </w:pPr>
            <w:r>
              <w:rPr>
                <w:rFonts w:ascii="Tinos" w:hAnsi="Tinos"/>
                <w:color w:val="000000"/>
                <w:sz w:val="21"/>
                <w:szCs w:val="21"/>
              </w:rPr>
              <w:t>Закон Воронежской области от 14.11.2008 № 103-ОЗ «О социальной поддержке отдельных категорий граждан в Воронежской области»</w:t>
            </w:r>
          </w:p>
        </w:tc>
      </w:tr>
      <w:tr>
        <w:trPr/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ind w:hanging="0" w:left="0" w:right="0"/>
              <w:jc w:val="left"/>
              <w:rPr>
                <w:sz w:val="21"/>
                <w:szCs w:val="21"/>
              </w:rPr>
            </w:pPr>
            <w:r>
              <w:rPr>
                <w:rFonts w:ascii="Tinos" w:hAnsi="Tinos"/>
                <w:color w:val="000000"/>
                <w:sz w:val="21"/>
                <w:szCs w:val="21"/>
              </w:rPr>
              <w:t>Ежемесячные денежные выплаты в целях компенсации проезда учащихся профессиональных образовательных организаций и образовательных организаций высшего образования к месту учебы и обратно во внутригородском, пригородном и внутрирайонном общественном транспорте (кроме такси).</w:t>
            </w:r>
          </w:p>
        </w:tc>
        <w:tc>
          <w:tcPr>
            <w:tcW w:w="8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ind w:hanging="0" w:left="0" w:right="0"/>
              <w:jc w:val="left"/>
              <w:rPr>
                <w:sz w:val="21"/>
                <w:szCs w:val="21"/>
              </w:rPr>
            </w:pPr>
            <w:r>
              <w:rPr>
                <w:rFonts w:ascii="Tinos" w:hAnsi="Tinos"/>
                <w:color w:val="000000"/>
                <w:sz w:val="21"/>
                <w:szCs w:val="21"/>
              </w:rPr>
              <w:t>Закон Воронежской области от 14.11.2008 № 103-ОЗ «О социальной поддержке отдельных категорий граждан в Воронежской области»</w:t>
            </w:r>
          </w:p>
        </w:tc>
      </w:tr>
      <w:tr>
        <w:trPr/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ind w:hanging="0" w:left="0" w:right="0"/>
              <w:jc w:val="left"/>
              <w:rPr>
                <w:sz w:val="21"/>
                <w:szCs w:val="21"/>
              </w:rPr>
            </w:pPr>
            <w:r>
              <w:rPr>
                <w:rFonts w:ascii="Tinos" w:hAnsi="Tinos"/>
                <w:color w:val="000000"/>
                <w:sz w:val="21"/>
                <w:szCs w:val="21"/>
              </w:rPr>
              <w:t>Ежемесячные денежные выплаты в целях компенсации питания учащихся профессиональных образовательных организаций и образовательных организаций высшего образования.</w:t>
            </w:r>
          </w:p>
        </w:tc>
        <w:tc>
          <w:tcPr>
            <w:tcW w:w="8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ind w:hanging="0" w:left="0" w:right="0"/>
              <w:jc w:val="left"/>
              <w:rPr>
                <w:sz w:val="21"/>
                <w:szCs w:val="21"/>
              </w:rPr>
            </w:pPr>
            <w:r>
              <w:rPr>
                <w:rFonts w:ascii="Tinos" w:hAnsi="Tinos"/>
                <w:color w:val="000000"/>
                <w:sz w:val="21"/>
                <w:szCs w:val="21"/>
              </w:rPr>
              <w:t>Закон Воронежской области от 14.11.2008 № 103-ОЗ «О социальной поддержке отдельных категорий граждан в Воронежской области»</w:t>
            </w:r>
          </w:p>
        </w:tc>
      </w:tr>
      <w:tr>
        <w:trPr/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ind w:hanging="0" w:left="0" w:right="0"/>
              <w:jc w:val="left"/>
              <w:rPr>
                <w:sz w:val="21"/>
                <w:szCs w:val="21"/>
              </w:rPr>
            </w:pPr>
            <w:r>
              <w:rPr>
                <w:rFonts w:ascii="Tinos" w:hAnsi="Tinos"/>
                <w:color w:val="000000"/>
                <w:sz w:val="21"/>
                <w:szCs w:val="21"/>
              </w:rPr>
              <w:t>Ежемесячная денежная компенсация расходов на оплату коммунальных услуг</w:t>
            </w:r>
          </w:p>
        </w:tc>
        <w:tc>
          <w:tcPr>
            <w:tcW w:w="8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ind w:hanging="0" w:left="0" w:right="0"/>
              <w:jc w:val="left"/>
              <w:rPr>
                <w:sz w:val="21"/>
                <w:szCs w:val="21"/>
              </w:rPr>
            </w:pPr>
            <w:r>
              <w:rPr>
                <w:rFonts w:ascii="Tinos" w:hAnsi="Tinos"/>
                <w:color w:val="000000"/>
                <w:sz w:val="21"/>
                <w:szCs w:val="21"/>
              </w:rPr>
              <w:t>Закон Воронежской области от 14.11.2008 № 103-ОЗ «О социальной поддержке отдельных категорий граждан в Воронежской области»</w:t>
            </w:r>
          </w:p>
        </w:tc>
      </w:tr>
      <w:tr>
        <w:trPr/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ind w:hanging="0" w:left="0" w:right="0"/>
              <w:jc w:val="left"/>
              <w:rPr>
                <w:sz w:val="21"/>
                <w:szCs w:val="21"/>
              </w:rPr>
            </w:pPr>
            <w:r>
              <w:rPr>
                <w:rFonts w:ascii="Tinos" w:hAnsi="Tinos"/>
                <w:color w:val="000000"/>
                <w:sz w:val="21"/>
                <w:szCs w:val="21"/>
              </w:rPr>
              <w:t>Предоставление автотранспорта или сельскохозяйственной техники для малоимущих многодетных семей (5 и более детей).</w:t>
            </w:r>
          </w:p>
        </w:tc>
        <w:tc>
          <w:tcPr>
            <w:tcW w:w="8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ind w:hanging="0" w:left="0" w:right="0"/>
              <w:jc w:val="left"/>
              <w:rPr>
                <w:sz w:val="21"/>
                <w:szCs w:val="21"/>
              </w:rPr>
            </w:pPr>
            <w:r>
              <w:rPr>
                <w:rFonts w:ascii="Tinos" w:hAnsi="Tinos"/>
                <w:color w:val="000000"/>
                <w:sz w:val="21"/>
                <w:szCs w:val="21"/>
              </w:rPr>
              <w:t>Приказ Департамента социальной защиты Воронежской области от 19 ноября 2019 г. № 68/н «О реализации основного мероприятия 2.3 «Социальная поддержка многодетных семей в Воронежской области» подпрограммы 2 «Совершенствование социальной поддержки семьи и детей» государственной программы Воронежской области «Социальная поддержка граждан» по обеспечению малоимущих многодетных семей личным пассажирским транспортом и сельхозтехникой»</w:t>
            </w:r>
          </w:p>
        </w:tc>
      </w:tr>
      <w:tr>
        <w:trPr/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ind w:hanging="0" w:left="0" w:right="0"/>
              <w:jc w:val="left"/>
              <w:rPr>
                <w:sz w:val="21"/>
                <w:szCs w:val="21"/>
              </w:rPr>
            </w:pPr>
            <w:r>
              <w:rPr>
                <w:rFonts w:ascii="Tinos" w:hAnsi="Tinos"/>
                <w:color w:val="000000"/>
                <w:sz w:val="21"/>
                <w:szCs w:val="21"/>
              </w:rPr>
              <w:t>Оказание государственной социальной помощи на улучшение жилищных условий ( в том числе оказание адресной социальной помощи на возмещение расходов по газификации или ремонту жилья) (5 и более детей)</w:t>
            </w:r>
          </w:p>
        </w:tc>
        <w:tc>
          <w:tcPr>
            <w:tcW w:w="8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jc w:val="left"/>
              <w:rPr>
                <w:sz w:val="21"/>
                <w:szCs w:val="21"/>
              </w:rPr>
            </w:pPr>
            <w:r>
              <w:rPr>
                <w:rFonts w:ascii="Tinos" w:hAnsi="Tinos"/>
                <w:color w:val="000000"/>
                <w:sz w:val="21"/>
                <w:szCs w:val="21"/>
              </w:rPr>
              <w:t>Приказ департамента социальной защиты Воронежской области от 07.09.2020 № 58/н «О реализации мероприятия «Оказание адресной социальной помощи семьям на улучшение жилищных условий ( в том числе оказание адресной социальной помощи на возмещение расходов по газификации или ремонту жилья)» комплекса процессных мероприятий «Улучшение уровня и качества жизни семей с детьми в Воронежской области» государственной программы Воронежской области «Социальная поддержка граждан».</w:t>
            </w:r>
          </w:p>
        </w:tc>
      </w:tr>
      <w:tr>
        <w:trPr/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ind w:hanging="0" w:left="0" w:right="0"/>
              <w:jc w:val="lef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Региональный материнский капитал на третьего и каждого из последующих детей</w:t>
            </w:r>
          </w:p>
        </w:tc>
        <w:tc>
          <w:tcPr>
            <w:tcW w:w="8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ind w:hanging="0" w:left="0" w:right="0"/>
              <w:jc w:val="lef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Закон Воронежской области от 14.11.2008 № 103-ОЗ «О социальной поддержке отдельных категорий граждан в Воронежской области»</w:t>
            </w:r>
          </w:p>
        </w:tc>
      </w:tr>
      <w:tr>
        <w:trPr/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76" w:before="0" w:after="0"/>
              <w:jc w:val="both"/>
              <w:rPr>
                <w:sz w:val="21"/>
                <w:szCs w:val="21"/>
              </w:rPr>
            </w:pPr>
            <w:r>
              <w:rPr>
                <w:rFonts w:cs="TimesNewRoman" w:ascii="Tinos" w:hAnsi="Tinos"/>
                <w:b w:val="false"/>
                <w:bCs w:val="false"/>
                <w:sz w:val="21"/>
                <w:szCs w:val="21"/>
              </w:rPr>
              <w:t>Денежн</w:t>
            </w:r>
            <w:r>
              <w:rPr>
                <w:rFonts w:cs="TimesNewRoman" w:ascii="Tinos" w:hAnsi="Tinos"/>
                <w:b w:val="false"/>
                <w:bCs w:val="false"/>
                <w:sz w:val="21"/>
                <w:szCs w:val="21"/>
              </w:rPr>
              <w:t>ая</w:t>
            </w:r>
            <w:r>
              <w:rPr>
                <w:rFonts w:cs="TimesNewRoman" w:ascii="Tinos" w:hAnsi="Tinos"/>
                <w:b w:val="false"/>
                <w:bCs w:val="false"/>
                <w:sz w:val="21"/>
                <w:szCs w:val="21"/>
              </w:rPr>
              <w:t xml:space="preserve"> компенсаци</w:t>
            </w:r>
            <w:r>
              <w:rPr>
                <w:rFonts w:cs="TimesNewRoman" w:ascii="Tinos" w:hAnsi="Tinos"/>
                <w:b w:val="false"/>
                <w:bCs w:val="false"/>
                <w:sz w:val="21"/>
                <w:szCs w:val="21"/>
              </w:rPr>
              <w:t>я</w:t>
            </w:r>
            <w:r>
              <w:rPr>
                <w:rFonts w:cs="TimesNewRoman" w:ascii="Tinos" w:hAnsi="Tinos"/>
                <w:b w:val="false"/>
                <w:bCs w:val="false"/>
                <w:sz w:val="21"/>
                <w:szCs w:val="21"/>
              </w:rPr>
              <w:t xml:space="preserve"> в  размере 50 % стоимости годового обучения по договору об оказании платных образовательных услуг в образовательной организации, расположенной на территории Воронежской области.</w:t>
            </w:r>
          </w:p>
        </w:tc>
        <w:tc>
          <w:tcPr>
            <w:tcW w:w="8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ind w:hanging="0"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Закон Воронежской области от 14.11.2008 № 103-ОЗ «О социальной поддержке отдельных категорий граждан в Воронежской области»</w:t>
            </w:r>
          </w:p>
        </w:tc>
      </w:tr>
      <w:tr>
        <w:trPr/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ind w:hanging="0" w:left="0" w:right="0"/>
              <w:jc w:val="lef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Оказание государственной социальной помощи на основании социального контракта.</w:t>
            </w:r>
          </w:p>
        </w:tc>
        <w:tc>
          <w:tcPr>
            <w:tcW w:w="8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ind w:hanging="0" w:left="0" w:right="0"/>
              <w:jc w:val="lef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Закон Воронежской области от 25.06.2012 № 98-ОЗ "О государственной социальной помощи в Воронежской области"; Закон Воронежской области от 30.11.2020 № 115-ОЗ «Об особенностях предоставления гражданам государственной социальной помощи на основании социального контракта в 2020 – 2022 годах».</w:t>
            </w:r>
          </w:p>
        </w:tc>
      </w:tr>
      <w:tr>
        <w:trPr/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ind w:hanging="0" w:left="0" w:right="0"/>
              <w:jc w:val="lef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Денежная компенсация на приобретение продуктов полноценного питания беременным женщинам и кормящим матерям, детям в возрасте до трех лет: детям первого года жизни детям второго и третьего года жизни</w:t>
            </w:r>
          </w:p>
        </w:tc>
        <w:tc>
          <w:tcPr>
            <w:tcW w:w="8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ind w:hanging="0" w:left="0" w:right="0"/>
              <w:jc w:val="lef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Закон Воронежской области от 14.11.2008 № 103-ОЗ «О социальной поддержке отдельных категорий граждан в Воронежской области»</w:t>
            </w:r>
          </w:p>
        </w:tc>
      </w:tr>
      <w:tr>
        <w:trPr/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ind w:hanging="0" w:left="0" w:right="0"/>
              <w:jc w:val="lef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Ежемесячная денежная компенсация затрат на организацию обучения детей-инвалидов по основным общеобразовательным программам на дому</w:t>
            </w:r>
          </w:p>
        </w:tc>
        <w:tc>
          <w:tcPr>
            <w:tcW w:w="8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ind w:hanging="0" w:left="0" w:right="0"/>
              <w:jc w:val="lef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Закон Воронежской области от 14.11.2008 № 103-ОЗ «О социальной поддержке отдельных категорий граждан в Воронежской области».</w:t>
            </w:r>
          </w:p>
        </w:tc>
      </w:tr>
      <w:tr>
        <w:trPr/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ind w:hanging="0" w:left="0" w:right="0"/>
              <w:jc w:val="lef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Субсидии на оплату жилого помещения и (или) коммунальных услуг</w:t>
            </w:r>
          </w:p>
        </w:tc>
        <w:tc>
          <w:tcPr>
            <w:tcW w:w="8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jc w:val="lef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Постановление Правительства РФ от 14.12.2005 № 761 «О предоставлении субсидий на оплату жилого помещения и коммунальных услуг».</w:t>
            </w:r>
          </w:p>
        </w:tc>
      </w:tr>
      <w:tr>
        <w:trPr/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ind w:hanging="0" w:left="0" w:right="0"/>
              <w:jc w:val="lef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Предоставление новогодних подарков и пригласительных билетов на театрализованные представления детям льготных категорий</w:t>
            </w:r>
          </w:p>
        </w:tc>
        <w:tc>
          <w:tcPr>
            <w:tcW w:w="8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jc w:val="lef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Приказ Министерства социальной защиты Воронежской области от 03.02.2025 №818/ОД</w:t>
            </w:r>
          </w:p>
        </w:tc>
      </w:tr>
      <w:tr>
        <w:trPr/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37"/>
              <w:ind w:hanging="0" w:left="0" w:right="0"/>
              <w:jc w:val="lef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Обеспечение льготными путевками на отдых и оздоровление детей</w:t>
            </w:r>
          </w:p>
        </w:tc>
        <w:tc>
          <w:tcPr>
            <w:tcW w:w="8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ind w:hanging="0" w:left="0" w:right="0"/>
              <w:jc w:val="lef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Приказ департамента социальной защиты Воронежской области от 21.05.2020 №1748/ОД</w:t>
            </w:r>
          </w:p>
        </w:tc>
      </w:tr>
      <w:tr>
        <w:trPr>
          <w:trHeight w:val="1022" w:hRule="atLeast"/>
        </w:trPr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1"/>
                <w:szCs w:val="21"/>
                <w:u w:val="none"/>
                <w:em w:val="none"/>
              </w:rPr>
              <w:t>Назначение государственной социальной помощи за счет средств областного бюджета отдельным категориям граждан, проживающим на территории Воронежской области.</w:t>
            </w:r>
          </w:p>
        </w:tc>
        <w:tc>
          <w:tcPr>
            <w:tcW w:w="8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ind w:hanging="0" w:left="0" w:right="0"/>
              <w:jc w:val="lef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Закон Воронежской области от 25.06.2012 № 98-ОЗ "О государственной социальной помощи в Воронежской области".</w:t>
            </w:r>
          </w:p>
          <w:p>
            <w:pPr>
              <w:pStyle w:val="Style37"/>
              <w:ind w:hanging="0" w:left="0" w:right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Style37"/>
              <w:ind w:hanging="0" w:left="0" w:right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  <w:p>
            <w:pPr>
              <w:pStyle w:val="Style37"/>
              <w:ind w:hanging="0" w:left="0" w:right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Дополнительная мера социальной поддержки отдельных категорий граждан для газификации жилого помещения</w:t>
            </w:r>
          </w:p>
        </w:tc>
        <w:tc>
          <w:tcPr>
            <w:tcW w:w="8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ind w:hanging="0" w:left="0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Закон Воронежской области от 14.11.2008 № 103-ОЗ «О социальной поддержке отдельных категорий граждан в Воронежской области»; Приказ департамента социальной защиты Воронежской области от 05.04.2022 №16/н</w:t>
            </w:r>
          </w:p>
        </w:tc>
      </w:tr>
      <w:tr>
        <w:trPr/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Единовременная денежная выплата многодетным гражданам с их согласия взамен предоставления им земельного участка в собственность бесплатно</w:t>
            </w:r>
          </w:p>
        </w:tc>
        <w:tc>
          <w:tcPr>
            <w:tcW w:w="8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ind w:hanging="0" w:left="0" w:right="0"/>
              <w:jc w:val="lef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Закон Воронежской области от 14.11.2008 № 103-ОЗ «О социальной поддержке отдельных категорий граждан в Воронежской области».</w:t>
            </w:r>
          </w:p>
        </w:tc>
      </w:tr>
      <w:tr>
        <w:trPr/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468" w:leader="none"/>
              </w:tabs>
              <w:spacing w:before="0" w:after="0"/>
              <w:jc w:val="both"/>
              <w:rPr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Единовременная денежная выплата на доставку бытового газа в баллонах</w:t>
            </w:r>
          </w:p>
        </w:tc>
        <w:tc>
          <w:tcPr>
            <w:tcW w:w="8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ind w:hanging="0" w:left="0" w:right="0"/>
              <w:jc w:val="lef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Закон Воронежской области от 14.11.2008 № 103-ОЗ «О социальной поддержке отдельных категорий граждан в Воронежской области».</w:t>
            </w:r>
          </w:p>
        </w:tc>
      </w:tr>
      <w:tr>
        <w:trPr/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468" w:leader="none"/>
              </w:tabs>
              <w:spacing w:before="0" w:after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Единовременная денежная выплата в связи с рождением третьего или последующего ребенка в молодой семье, начиная с 1 января 2025 года</w:t>
            </w:r>
          </w:p>
        </w:tc>
        <w:tc>
          <w:tcPr>
            <w:tcW w:w="8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37"/>
              <w:ind w:hanging="0" w:left="0" w:right="0"/>
              <w:jc w:val="left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Закон Воронежской области от 14.11.2008 № 103-ОЗ «О социальной поддержке отдельных категорий граждан в Воронежской области».</w:t>
            </w:r>
          </w:p>
        </w:tc>
      </w:tr>
    </w:tbl>
    <w:p>
      <w:pPr>
        <w:pStyle w:val="BodyTextFirstIndent"/>
        <w:bidi w:val="0"/>
        <w:rPr/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nos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lef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left="0" w:right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left="709" w:right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left="0" w:right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BodyTextIndent">
    <w:name w:val="Body Text Indent"/>
    <w:basedOn w:val="BodyText"/>
    <w:pPr>
      <w:ind w:hanging="0" w:left="0" w:right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left="0" w:right="0"/>
      <w:jc w:val="lef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left="0" w:right="0"/>
    </w:pPr>
    <w:rPr/>
  </w:style>
  <w:style w:type="paragraph" w:styleId="AnnotationText">
    <w:name w:val="Annotation Text"/>
    <w:basedOn w:val="BodyText"/>
    <w:pPr>
      <w:ind w:hanging="0" w:left="0" w:right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left="0" w:right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left="0" w:right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left="0" w:right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left="0" w:right="0"/>
    </w:pPr>
    <w:rPr/>
  </w:style>
  <w:style w:type="paragraph" w:styleId="ListNumber2">
    <w:name w:val="List Number 2"/>
    <w:basedOn w:val="List"/>
    <w:pPr>
      <w:spacing w:before="0" w:after="0"/>
      <w:ind w:hanging="0" w:left="0" w:right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left="0" w:right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left="0" w:right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left="0" w:right="0"/>
    </w:pPr>
    <w:rPr/>
  </w:style>
  <w:style w:type="paragraph" w:styleId="ListNumber3">
    <w:name w:val="List Number 3"/>
    <w:basedOn w:val="List"/>
    <w:pPr>
      <w:spacing w:before="0" w:after="0"/>
      <w:ind w:hanging="0" w:left="0" w:right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left="0" w:right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left="0" w:right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left="0" w:right="0"/>
    </w:pPr>
    <w:rPr/>
  </w:style>
  <w:style w:type="paragraph" w:styleId="ListNumber4">
    <w:name w:val="List Number 4"/>
    <w:basedOn w:val="List"/>
    <w:pPr>
      <w:spacing w:before="0" w:after="0"/>
      <w:ind w:hanging="0" w:left="0" w:right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left="0" w:right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left="0" w:right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left="0" w:right="0"/>
    </w:pPr>
    <w:rPr/>
  </w:style>
  <w:style w:type="paragraph" w:styleId="ListNumber5">
    <w:name w:val="List Number 5"/>
    <w:basedOn w:val="List"/>
    <w:pPr>
      <w:spacing w:before="0" w:after="0"/>
      <w:ind w:hanging="0" w:left="0" w:right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left="0" w:right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left="0" w:right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left="0" w:right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left="0" w:right="0"/>
    </w:pPr>
    <w:rPr/>
  </w:style>
  <w:style w:type="paragraph" w:styleId="ListContinue">
    <w:name w:val="List Continue"/>
    <w:basedOn w:val="List"/>
    <w:pPr>
      <w:spacing w:before="0" w:after="0"/>
      <w:ind w:hanging="0" w:left="0" w:right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left="0" w:right="0"/>
    </w:pPr>
    <w:rPr/>
  </w:style>
  <w:style w:type="paragraph" w:styleId="ListBullet2">
    <w:name w:val="List Bullet 2"/>
    <w:basedOn w:val="List"/>
    <w:pPr>
      <w:spacing w:before="0" w:after="0"/>
      <w:ind w:hanging="0" w:left="0" w:right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left="0" w:right="0"/>
    </w:pPr>
    <w:rPr/>
  </w:style>
  <w:style w:type="paragraph" w:styleId="ListContinue2">
    <w:name w:val="List Continue 2"/>
    <w:basedOn w:val="List"/>
    <w:pPr>
      <w:spacing w:before="0" w:after="0"/>
      <w:ind w:hanging="0" w:left="0" w:right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left="0" w:right="0"/>
    </w:pPr>
    <w:rPr/>
  </w:style>
  <w:style w:type="paragraph" w:styleId="ListBullet3">
    <w:name w:val="List Bullet 3"/>
    <w:basedOn w:val="List"/>
    <w:pPr>
      <w:spacing w:before="0" w:after="0"/>
      <w:ind w:hanging="0" w:left="0" w:right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left="0" w:right="0"/>
    </w:pPr>
    <w:rPr/>
  </w:style>
  <w:style w:type="paragraph" w:styleId="ListContinue3">
    <w:name w:val="List Continue 3"/>
    <w:basedOn w:val="List"/>
    <w:pPr>
      <w:spacing w:before="0" w:after="0"/>
      <w:ind w:hanging="0" w:left="0" w:right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left="0" w:right="0"/>
    </w:pPr>
    <w:rPr/>
  </w:style>
  <w:style w:type="paragraph" w:styleId="ListBullet4">
    <w:name w:val="List Bullet 4"/>
    <w:basedOn w:val="List"/>
    <w:pPr>
      <w:spacing w:before="0" w:after="0"/>
      <w:ind w:hanging="0" w:left="0" w:right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left="0" w:right="0"/>
    </w:pPr>
    <w:rPr/>
  </w:style>
  <w:style w:type="paragraph" w:styleId="ListContinue4">
    <w:name w:val="List Continue 4"/>
    <w:basedOn w:val="List"/>
    <w:pPr>
      <w:spacing w:before="0" w:after="0"/>
      <w:ind w:hanging="0" w:left="0" w:right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left="0" w:right="0"/>
    </w:pPr>
    <w:rPr/>
  </w:style>
  <w:style w:type="paragraph" w:styleId="ListBullet5">
    <w:name w:val="List Bullet 5"/>
    <w:basedOn w:val="List"/>
    <w:pPr>
      <w:spacing w:before="0" w:after="0"/>
      <w:ind w:hanging="0" w:left="0" w:right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left="0" w:right="0"/>
    </w:pPr>
    <w:rPr/>
  </w:style>
  <w:style w:type="paragraph" w:styleId="ListContinue5">
    <w:name w:val="List Continue 5"/>
    <w:basedOn w:val="List"/>
    <w:pPr>
      <w:spacing w:before="0" w:after="0"/>
      <w:ind w:hanging="0" w:left="0" w:right="0"/>
    </w:pPr>
    <w:rPr/>
  </w:style>
  <w:style w:type="paragraph" w:styleId="IndexHeading">
    <w:name w:val="Index Heading"/>
    <w:basedOn w:val="Style23"/>
    <w:pPr>
      <w:ind w:hanging="0" w:left="0" w:right="0"/>
    </w:pPr>
    <w:rPr/>
  </w:style>
  <w:style w:type="paragraph" w:styleId="Index1">
    <w:name w:val="Index 1"/>
    <w:basedOn w:val="Style24"/>
    <w:pPr>
      <w:ind w:hanging="0" w:left="0" w:right="0"/>
    </w:pPr>
    <w:rPr/>
  </w:style>
  <w:style w:type="paragraph" w:styleId="Index2">
    <w:name w:val="Index 2"/>
    <w:basedOn w:val="Style24"/>
    <w:pPr>
      <w:ind w:hanging="0" w:left="0" w:right="0"/>
    </w:pPr>
    <w:rPr/>
  </w:style>
  <w:style w:type="paragraph" w:styleId="Index3">
    <w:name w:val="Index 3"/>
    <w:basedOn w:val="Style24"/>
    <w:pPr>
      <w:ind w:hanging="0" w:left="0" w:right="0"/>
    </w:pPr>
    <w:rPr/>
  </w:style>
  <w:style w:type="paragraph" w:styleId="Style28">
    <w:name w:val="Разделитель предметного указателя"/>
    <w:basedOn w:val="Style24"/>
    <w:qFormat/>
    <w:pPr>
      <w:ind w:hanging="0" w:left="0" w:right="0"/>
    </w:pPr>
    <w:rPr/>
  </w:style>
  <w:style w:type="paragraph" w:styleId="TOCHeading">
    <w:name w:val="TOC Heading"/>
    <w:basedOn w:val="Style23"/>
    <w:next w:val="TOC1"/>
    <w:qFormat/>
    <w:pPr>
      <w:ind w:hanging="0" w:left="0" w:right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left="0" w:right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left="0" w:right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left="0" w:right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left="0" w:right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0">
    <w:name w:val="Заголовок списка объектов"/>
    <w:basedOn w:val="Style23"/>
    <w:qFormat/>
    <w:pPr>
      <w:ind w:hanging="0" w:left="0" w:right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Style31">
    <w:name w:val="Заголовок списка таблиц"/>
    <w:basedOn w:val="Style23"/>
    <w:qFormat/>
    <w:pPr>
      <w:ind w:hanging="0" w:left="0" w:right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TableofAuthorities">
    <w:name w:val="Table of Authorities"/>
    <w:basedOn w:val="Style23"/>
    <w:pPr>
      <w:ind w:hanging="0" w:left="0" w:right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left="0" w:right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left="0" w:right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left="0" w:right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left="0" w:right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left="0" w:right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left="0" w:right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left="0" w:right="0"/>
      <w:jc w:val="lef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left="0" w:right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left="0" w:right="0"/>
    </w:pPr>
    <w:rPr/>
  </w:style>
  <w:style w:type="paragraph" w:styleId="Style47">
    <w:name w:val="Заголовок списка"/>
    <w:basedOn w:val="Normal"/>
    <w:next w:val="Style46"/>
    <w:qFormat/>
    <w:pPr>
      <w:ind w:hanging="0" w:left="0" w:right="0"/>
    </w:pPr>
    <w:rPr/>
  </w:style>
  <w:style w:type="paragraph" w:styleId="Style48">
    <w:name w:val="Гриф_Экземпляр"/>
    <w:basedOn w:val="Normal"/>
    <w:qFormat/>
    <w:pPr>
      <w:ind w:hanging="0" w:left="0" w:right="0"/>
    </w:pPr>
    <w:rPr>
      <w:sz w:val="24"/>
    </w:rPr>
  </w:style>
  <w:style w:type="paragraph" w:styleId="Style49">
    <w:name w:val="Исполнитель документа"/>
    <w:basedOn w:val="Normal"/>
    <w:qFormat/>
    <w:pPr>
      <w:jc w:val="lef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left="0" w:right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183</TotalTime>
  <Application>LibreOffice/7.6.7.2$Linux_X86_64 LibreOffice_project/60$Build-2</Application>
  <AppVersion>15.0000</AppVersion>
  <Pages>2</Pages>
  <Words>734</Words>
  <Characters>5269</Characters>
  <CharactersWithSpaces>5965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2025-03-05T09:05:02Z</dcterms:created>
  <dc:creator/>
  <dc:description/>
  <dc:language>ru-RU</dc:language>
  <cp:lastModifiedBy/>
  <dcterms:modified xsi:type="dcterms:W3CDTF">2025-03-05T14:00:31Z</dcterms:modified>
  <cp:revision>13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